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B9" w:rsidRPr="00545AB9" w:rsidRDefault="00545AB9" w:rsidP="00545A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5AB9">
        <w:rPr>
          <w:rFonts w:ascii="Times New Roman" w:hAnsi="Times New Roman" w:cs="Times New Roman"/>
          <w:b/>
          <w:sz w:val="28"/>
          <w:szCs w:val="28"/>
        </w:rPr>
        <w:t>СОВЕТ ЯРГОМЖСКОГО СЕЛЬСКОГО ПОСЕЛЕНИЯ</w:t>
      </w:r>
    </w:p>
    <w:p w:rsidR="00545AB9" w:rsidRPr="00545AB9" w:rsidRDefault="00545AB9" w:rsidP="00545A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45AB9">
        <w:rPr>
          <w:rFonts w:ascii="Times New Roman" w:hAnsi="Times New Roman"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45AB9" w:rsidRDefault="00545AB9" w:rsidP="00545A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5BB7B1BC" w:rsidRPr="00545AB9" w:rsidRDefault="00545AB9" w:rsidP="00545A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5BB7B1BC" w:rsidRPr="00A161EE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D79F5"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22.04.2024</w:t>
      </w:r>
      <w:r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№ </w:t>
      </w:r>
      <w:r w:rsidR="004D79F5"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</w:t>
      </w:r>
    </w:p>
    <w:p w:rsidR="5BB7B1BC" w:rsidRPr="00A161EE" w:rsidRDefault="00A161EE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Start"/>
      <w:r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A161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отово</w:t>
      </w:r>
      <w:proofErr w:type="spellEnd"/>
    </w:p>
    <w:p w:rsidR="5BB7B1BC" w:rsidRPr="00A161EE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315138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6B486F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в решение Совета</w:t>
      </w:r>
      <w:r w:rsidR="00175F04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15.12.2022</w:t>
      </w:r>
      <w:r w:rsidR="002B1C2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71E16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171E16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5BB7B1BC" w:rsidRPr="00A161EE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A161EE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BB7B1BC" w:rsidRPr="00315138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5BB7B1BC" w:rsidRPr="00315138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поселения,</w:t>
      </w:r>
    </w:p>
    <w:p w:rsidR="5BB7B1BC" w:rsidRPr="00315138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:rsidR="00191215" w:rsidRPr="00315138" w:rsidRDefault="00191215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13E17" w:rsidRPr="00315138" w:rsidRDefault="5BB7B1BC" w:rsidP="009E0CF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Правила благоустройства территории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утвержденные </w:t>
      </w:r>
      <w:r w:rsidR="006B486F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Совета</w:t>
      </w:r>
      <w:r w:rsidR="00175F04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15.12.2022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 </w:t>
      </w:r>
      <w:r w:rsidR="006B486F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 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следующего содержания:</w:t>
      </w:r>
    </w:p>
    <w:p w:rsidR="00191215" w:rsidRPr="00315138" w:rsidRDefault="00FA0580" w:rsidP="009E0CF4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Главу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341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FF4627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4D79F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627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изложить в новой редакции: </w:t>
      </w:r>
    </w:p>
    <w:p w:rsidR="00FA0580" w:rsidRPr="00315138" w:rsidRDefault="00FF4627" w:rsidP="0019121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0580" w:rsidRPr="003151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FA0580" w:rsidRPr="00315138" w:rsidRDefault="00191215" w:rsidP="004A260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="004A260B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Собственники и (или) иные законные владельцы зданий, строений, сооружений обязаны содержать фасады указанных объектов состоянии, обеспечивающим их соответствие  требованиям законодательства Российской Федерации, законодательства области и муниципальных правовых актов органов местного самоуправления».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фасада</w:t>
      </w:r>
      <w:proofErr w:type="gram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300 мм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315138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белом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черная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рамка шириной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10 мм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Название улиц и номера домов выполняются </w:t>
      </w:r>
      <w:r w:rsidRPr="00315138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черном цвете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90 мм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140 мм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0" w:name="_Hlk14967170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на каждом строении.</w:t>
      </w:r>
    </w:p>
    <w:bookmarkEnd w:id="0"/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5138">
        <w:rPr>
          <w:rFonts w:ascii="Times New Roman" w:hAnsi="Times New Roman"/>
          <w:sz w:val="28"/>
          <w:szCs w:val="28"/>
          <w:lang w:eastAsia="ru-RU"/>
        </w:rPr>
        <w:t>7.10. Содержание фасадов объектов включает: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проведение осмотра фасадов зданий, строений, сооружений в целях выявления загрязнений, неисправностей, повреждений и иных дефектов;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315138">
        <w:rPr>
          <w:rFonts w:ascii="Times New Roman" w:hAnsi="Times New Roman"/>
          <w:sz w:val="28"/>
          <w:szCs w:val="28"/>
          <w:lang w:eastAsia="ru-RU"/>
        </w:rPr>
        <w:t>отмосток</w:t>
      </w:r>
      <w:proofErr w:type="spellEnd"/>
      <w:r w:rsidRPr="00315138">
        <w:rPr>
          <w:rFonts w:ascii="Times New Roman" w:hAnsi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мытье окон и витрин, вывесок и указателей;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очистку от надписей, рисунков, графических изображений, объявления рекламной информации, афиш, плакатов и иной информационн</w:t>
      </w:r>
      <w:proofErr w:type="gramStart"/>
      <w:r w:rsidRPr="00315138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315138">
        <w:rPr>
          <w:rFonts w:ascii="Times New Roman" w:hAnsi="Times New Roman"/>
          <w:sz w:val="28"/>
          <w:szCs w:val="28"/>
          <w:lang w:eastAsia="ru-RU"/>
        </w:rPr>
        <w:t xml:space="preserve"> печатной продукции, самовольно размещенных на фасадах зданий, строений, сооружений вне мест специально отведенных для их размещения на фасадах таких объектов</w:t>
      </w:r>
    </w:p>
    <w:p w:rsidR="004A260B" w:rsidRPr="00315138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5138">
        <w:rPr>
          <w:rFonts w:ascii="Times New Roman" w:hAnsi="Times New Roman"/>
          <w:sz w:val="28"/>
          <w:szCs w:val="28"/>
          <w:lang w:eastAsia="ru-RU"/>
        </w:rPr>
        <w:t xml:space="preserve"> 7.10.1. Требования, установленные к содержанию внешнего вида фасадов зданий, строений, сооружений настоящими Правилами, </w:t>
      </w:r>
      <w:r w:rsidRPr="00315138">
        <w:rPr>
          <w:rFonts w:ascii="Times New Roman" w:hAnsi="Times New Roman"/>
          <w:sz w:val="28"/>
          <w:szCs w:val="28"/>
          <w:lang w:eastAsia="ru-RU"/>
        </w:rPr>
        <w:lastRenderedPageBreak/>
        <w:t>применяются в частности, не противоречащей законодательству в области сохранения, популяризации и охраны объектов культурного наследия (памятников истории и культуры) народов Российской Федерации».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 xml:space="preserve">7.10.2. В целях выявления дефектов проводятся осмотры фасадов </w:t>
      </w:r>
      <w:r w:rsidR="00071608" w:rsidRPr="00315138">
        <w:rPr>
          <w:rFonts w:ascii="Times New Roman" w:hAnsi="Times New Roman" w:cs="Times New Roman"/>
          <w:sz w:val="28"/>
          <w:szCs w:val="28"/>
          <w:lang w:eastAsia="ru-RU"/>
        </w:rPr>
        <w:t>зданий, строений, сооружений</w:t>
      </w:r>
      <w:r w:rsidRPr="003151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>7.10.3. К дефектам внешнего вида фасадов зданий, строений, сооружени</w:t>
      </w:r>
      <w:proofErr w:type="gramStart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далее – дефекты) относятся: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местные разрушения облицовки, штукатурки, фактурного и окрасочного слоев;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трещины в штукатурке;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выкрашиваение</w:t>
      </w:r>
      <w:proofErr w:type="spellEnd"/>
      <w:r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 раствора из швов облицовки, кирпичной и </w:t>
      </w:r>
      <w:proofErr w:type="spellStart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мелкоблочной</w:t>
      </w:r>
      <w:proofErr w:type="spellEnd"/>
      <w:r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 кладки;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разрушение герметизирующих заделок стуков полносборных зданий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повреждение и износ металлических покрытий на выступающих частях стен;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-разрушение водосточных труб;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- мокрые и ржавые пятна, потеки и </w:t>
      </w:r>
      <w:proofErr w:type="spellStart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высолы</w:t>
      </w:r>
      <w:proofErr w:type="spellEnd"/>
      <w:r w:rsidRPr="0031513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общее загрязнение поверхности;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разрушения парапетов;</w:t>
      </w:r>
    </w:p>
    <w:p w:rsidR="004A260B" w:rsidRPr="00315138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>- иные дефекты внешнего вида фасадов.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7.10.4. Проведение ремонтных работ по устранению выявленных дефектов производится в сроки, установленные муниципальными правовыми актами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513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поселения»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7.10.5. При обнаружении дефектов, угрожающих безопасности жизни и здоровья граждан, сохранности имущества физических или юридических лиц, государственного, муниципального и иного имущества, окружающей среде, жизни или здоровью животных и растений, зона или пространство, где могут </w:t>
      </w:r>
      <w:proofErr w:type="gramStart"/>
      <w:r w:rsidRPr="00315138">
        <w:rPr>
          <w:rFonts w:ascii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315138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имущество, животные и растения, обозначаются сигнальной разметкой не позднее дня, следующего за днем обнаружения дефектов. 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>7.10.6. Окраска, фасадов зданий, строений, сооружений проводится с учетом срока службы используемых материалов и их характеристи</w:t>
      </w:r>
      <w:r w:rsidR="00071608" w:rsidRPr="00315138">
        <w:rPr>
          <w:rFonts w:ascii="Times New Roman" w:hAnsi="Times New Roman" w:cs="Times New Roman"/>
          <w:sz w:val="28"/>
          <w:szCs w:val="28"/>
          <w:lang w:eastAsia="ru-RU"/>
        </w:rPr>
        <w:t>к, установленных производителем.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>Окрашенные поверхности фасадов должны быть ровными, без пома</w:t>
      </w:r>
      <w:r w:rsidR="00071608" w:rsidRPr="00315138">
        <w:rPr>
          <w:rFonts w:ascii="Times New Roman" w:hAnsi="Times New Roman" w:cs="Times New Roman"/>
          <w:sz w:val="28"/>
          <w:szCs w:val="28"/>
          <w:lang w:eastAsia="ru-RU"/>
        </w:rPr>
        <w:t>рок, пятен и поврежденных мест.</w:t>
      </w:r>
    </w:p>
    <w:p w:rsidR="00071608" w:rsidRPr="00315138" w:rsidRDefault="00071608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фасадах зданий, строений, сооружений не допускается окраска фасада до восстановления разрушенных или поврежденных поверхностей и архитектурных деталей. </w:t>
      </w:r>
    </w:p>
    <w:p w:rsidR="004A260B" w:rsidRPr="00315138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1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71608" w:rsidRPr="00315138">
        <w:rPr>
          <w:rFonts w:ascii="Times New Roman" w:hAnsi="Times New Roman" w:cs="Times New Roman"/>
          <w:sz w:val="28"/>
          <w:szCs w:val="28"/>
          <w:lang w:eastAsia="ru-RU"/>
        </w:rPr>
        <w:t>7.10.7</w:t>
      </w:r>
      <w:r w:rsidRPr="00315138">
        <w:rPr>
          <w:rFonts w:ascii="Times New Roman" w:hAnsi="Times New Roman" w:cs="Times New Roman"/>
          <w:sz w:val="28"/>
          <w:szCs w:val="28"/>
          <w:lang w:eastAsia="ru-RU"/>
        </w:rPr>
        <w:t>. Фасады зданий, строений, сооружений следует очищать и промывать, учитывая материал и характер отделки, а также состояние поверхностей стен зданий.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уничтожение, порча, искажение архитектурных деталей фасадов зданий (сооружений, строений);</w:t>
      </w:r>
    </w:p>
    <w:p w:rsidR="00FA0580" w:rsidRPr="00315138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</w:t>
      </w:r>
      <w:r w:rsidR="00476BF8"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1" w:name="_Hlk14967236"/>
    </w:p>
    <w:bookmarkEnd w:id="1"/>
    <w:p w:rsidR="00FA0580" w:rsidRPr="00315138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476BF8" w:rsidRPr="00315138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5138">
        <w:rPr>
          <w:rFonts w:ascii="Times New Roman" w:eastAsia="Times New Roman" w:hAnsi="Times New Roman"/>
          <w:color w:val="000000" w:themeColor="text1"/>
          <w:sz w:val="28"/>
          <w:szCs w:val="28"/>
        </w:rPr>
        <w:t>- запрещается размещение информации, содержащей изображения и символы, связанные с употреблением алкоголя, иной спиртосодержащей продукции и табака.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4A260B" w:rsidRPr="00315138" w:rsidRDefault="00FA0580" w:rsidP="004A260B">
      <w:pPr>
        <w:pStyle w:val="a3"/>
        <w:spacing w:after="0" w:line="240" w:lineRule="auto"/>
        <w:ind w:left="39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FA0580" w:rsidRPr="00315138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FA0580" w:rsidRPr="00315138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два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 вертикали -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не выше линии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0,5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 высоте) и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60%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занимаемым данным юридическим лицом (индивидуальным предпринимателем) помещениям, но не более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10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 длине).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 м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2,5 м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7.18. </w:t>
      </w:r>
      <w:proofErr w:type="gram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не более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не более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1,2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7.21. Не допускается: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вертикальный порядок расположения букв в текстах вывесок, за исключением случаев размещения вывесок перпендикулярно поверхности 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фасадов объектов и (или) их конструктивных элементов (консольные конструкции);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призматроны</w:t>
      </w:r>
      <w:proofErr w:type="spell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штендеров</w:t>
      </w:r>
      <w:proofErr w:type="spell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7.23</w:t>
      </w:r>
      <w:proofErr w:type="gram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="00FA0580"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 суток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7.25. Включение и отключение устройств наружного освещения подъездов жилых домов, номерных знаков домов и указателей адресных 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единиц, а также систем архитектурно-художественной подсветки производится в режиме работы наружного освещения улиц.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экономичность и </w:t>
      </w:r>
      <w:proofErr w:type="spell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обычные (традиционные), </w:t>
      </w: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высокомачтовые</w:t>
      </w:r>
      <w:proofErr w:type="spell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парапетные, </w:t>
      </w: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встроенные, </w:t>
      </w: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</w:t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энергоэффективные</w:t>
      </w:r>
      <w:proofErr w:type="spell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а) установки освещения;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е) урны.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а) установки освещения;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скамьи, предполагающие длительное, комфортное сидение;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ж) урны.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  <w:proofErr w:type="gramEnd"/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  <w:r w:rsidR="00071608" w:rsidRPr="0031513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Ограждения земельных участков устанавливают высотой до </w:t>
      </w:r>
      <w:r w:rsidRPr="003151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 м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FA0580" w:rsidRPr="00315138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7.47. Установка ограждений, изготовленных из сетки-</w:t>
      </w:r>
      <w:proofErr w:type="spell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рабицы</w:t>
      </w:r>
      <w:proofErr w:type="spell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FA0580" w:rsidRPr="00315138" w:rsidRDefault="004A260B" w:rsidP="00F122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7.48. </w:t>
      </w:r>
      <w:r w:rsidR="00F12284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Содержание внешнего вида заборов и иных ограждений на территории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2284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поселения.</w:t>
      </w:r>
    </w:p>
    <w:p w:rsidR="00F12284" w:rsidRPr="00315138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  <w:t>7.48.1. Собственники и (или) иные законные владельцы обязаны содержать забор или иное ограждение в состоянии, обеспечивающем их соответствие требованиям законодательства Российской Федерации, законодательства области и муниципальных нормативных правовых актов органов местного самоуправления.</w:t>
      </w:r>
    </w:p>
    <w:p w:rsidR="00F12284" w:rsidRPr="00315138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При содержании заборов или иных ограждений должны соблюдаться требования к расположению и поддержанию привлекательности их внешнего вида.</w:t>
      </w:r>
    </w:p>
    <w:p w:rsidR="00447CB3" w:rsidRPr="00315138" w:rsidRDefault="00F12284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7.48.2. </w:t>
      </w:r>
      <w:r w:rsidR="00191215" w:rsidRPr="00315138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ребования, установленные к содержанию внешнего вида заборов и иных ограждений </w:t>
      </w:r>
      <w:r w:rsidRPr="00315138">
        <w:rPr>
          <w:rFonts w:ascii="Times New Roman" w:hAnsi="Times New Roman"/>
          <w:sz w:val="28"/>
          <w:szCs w:val="28"/>
          <w:lang w:eastAsia="ru-RU"/>
        </w:rPr>
        <w:t>настоящим Правил</w:t>
      </w:r>
      <w:r w:rsidR="006C3955" w:rsidRPr="00315138">
        <w:rPr>
          <w:rFonts w:ascii="Times New Roman" w:hAnsi="Times New Roman"/>
          <w:sz w:val="28"/>
          <w:szCs w:val="28"/>
          <w:lang w:eastAsia="ru-RU"/>
        </w:rPr>
        <w:t>о</w:t>
      </w:r>
      <w:r w:rsidRPr="00315138">
        <w:rPr>
          <w:rFonts w:ascii="Times New Roman" w:hAnsi="Times New Roman"/>
          <w:sz w:val="28"/>
          <w:szCs w:val="28"/>
          <w:lang w:eastAsia="ru-RU"/>
        </w:rPr>
        <w:t xml:space="preserve">м, применяются в части, не противоречащей законодательству области </w:t>
      </w:r>
      <w:r w:rsidR="00447CB3" w:rsidRPr="00315138">
        <w:rPr>
          <w:rFonts w:ascii="Times New Roman" w:hAnsi="Times New Roman"/>
          <w:sz w:val="28"/>
          <w:szCs w:val="28"/>
          <w:lang w:eastAsia="ru-RU"/>
        </w:rPr>
        <w:t>сохранения, популяризации и  охраны объектов культурного наследия (памятников истории и культуры) народов Российской Федерации.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7.48.3. В целях выявления дефектов проводятся осмотры заборов и иных ограждений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7.48.4. К дефектам внешнего вида заборов и иных ограждений относятся: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 xml:space="preserve">- повреждение красочного покрытия (в том числе </w:t>
      </w:r>
      <w:proofErr w:type="spellStart"/>
      <w:r w:rsidRPr="00315138">
        <w:rPr>
          <w:rFonts w:ascii="Times New Roman" w:hAnsi="Times New Roman"/>
          <w:sz w:val="28"/>
          <w:szCs w:val="28"/>
          <w:lang w:eastAsia="ru-RU"/>
        </w:rPr>
        <w:t>меление</w:t>
      </w:r>
      <w:proofErr w:type="spellEnd"/>
      <w:r w:rsidRPr="00315138">
        <w:rPr>
          <w:rFonts w:ascii="Times New Roman" w:hAnsi="Times New Roman"/>
          <w:sz w:val="28"/>
          <w:szCs w:val="28"/>
          <w:lang w:eastAsia="ru-RU"/>
        </w:rPr>
        <w:t>, растрескивание, выветривание, вздутие или сморщивание краски;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-наличие трещин, разломов;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lastRenderedPageBreak/>
        <w:t>-повреждение или разрушение кирпичной, или каменой кладки, архитектурных деталей и других элементов;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провисание или разрывы сетчатых элементов;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>- расстройства болтовых, закрепочных, сварочных, иных соединений конструкций;</w:t>
      </w:r>
    </w:p>
    <w:p w:rsidR="00447CB3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 xml:space="preserve"> И иные дефекты внешнего вида заборов и иных ограждений.</w:t>
      </w:r>
    </w:p>
    <w:p w:rsidR="00F12284" w:rsidRPr="00315138" w:rsidRDefault="00447CB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7.48.5. Собственники и (или) иные законные владельцы обязаны производить ремонт и восстановление заборов и иных ограждений, а также их очистку по мере загрязнения</w:t>
      </w:r>
      <w:r w:rsidR="006B6333" w:rsidRPr="00315138">
        <w:rPr>
          <w:rFonts w:ascii="Times New Roman" w:hAnsi="Times New Roman"/>
          <w:sz w:val="28"/>
          <w:szCs w:val="28"/>
          <w:lang w:eastAsia="ru-RU"/>
        </w:rPr>
        <w:t>.</w:t>
      </w:r>
    </w:p>
    <w:p w:rsidR="006B6333" w:rsidRPr="00315138" w:rsidRDefault="006B633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7.48.6. Окраска заборов и иных ограждений производится с учетом срока службы используемых материалов и их характеристик, установленных производителем</w:t>
      </w:r>
    </w:p>
    <w:p w:rsidR="006B6333" w:rsidRPr="00315138" w:rsidRDefault="006B633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Металлические элементы и сварные соединения заборов и иных ограждений должны быть покрашены атмосферостойкими красками.</w:t>
      </w:r>
    </w:p>
    <w:p w:rsidR="006B6333" w:rsidRPr="00315138" w:rsidRDefault="006B6333" w:rsidP="00F122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138">
        <w:rPr>
          <w:rFonts w:ascii="Times New Roman" w:hAnsi="Times New Roman"/>
          <w:sz w:val="28"/>
          <w:szCs w:val="28"/>
          <w:lang w:eastAsia="ru-RU"/>
        </w:rPr>
        <w:tab/>
        <w:t>Окрашенные поверхности заборов и иных ограждений должны быть ровными, без помарок, пятен и поврежденных мест.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FA0580" w:rsidRPr="00315138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7.51. </w:t>
      </w:r>
      <w:proofErr w:type="gram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При создании некапитальных нестационарных строений и сооружений, выпо</w:t>
      </w:r>
      <w:bookmarkStart w:id="2" w:name="_GoBack"/>
      <w:bookmarkEnd w:id="2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передвижения по сложившимся пешеходным маршрутам.</w:t>
      </w:r>
    </w:p>
    <w:p w:rsidR="00FA0580" w:rsidRPr="00315138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FA0580" w:rsidRPr="00315138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FA0580" w:rsidRPr="00315138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FA0580" w:rsidRPr="00315138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FA0580" w:rsidRPr="00315138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FA0580" w:rsidRPr="00315138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7.55. При проектировании мини-</w:t>
      </w:r>
      <w:proofErr w:type="spellStart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маркетов</w:t>
      </w:r>
      <w:proofErr w:type="spellEnd"/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FA0580" w:rsidRPr="00315138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13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A0580" w:rsidRPr="00315138">
        <w:rPr>
          <w:rFonts w:ascii="Times New Roman" w:hAnsi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23E17" w:rsidRPr="00315138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</w:t>
      </w:r>
      <w:r w:rsidR="0019121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 18.5 Г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лавы 18 Правил дополнить абзацем следующего содержания: </w:t>
      </w:r>
    </w:p>
    <w:p w:rsidR="00023E17" w:rsidRPr="00315138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023E17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плюс 5 </w:t>
      </w:r>
      <w:proofErr w:type="spellStart"/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о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выше – не более 1 суток;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плюс 4 </w:t>
      </w:r>
      <w:proofErr w:type="spellStart"/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о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ниже – не более 3 суток.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принятия главным государственным санитарным врачом по Вологодской области соответствующего решения возможно изменение в труднодоступных и малочисленных населенных пунктах срока временного накопления несортированных ТКО с учетом среднесуточной температуры наружного воздуха на основании санитарно-эпидемиологической оценки.</w:t>
      </w:r>
    </w:p>
    <w:p w:rsidR="00191215" w:rsidRPr="00315138" w:rsidRDefault="00191215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труднодоступных и малочисленных населенных пунктов определяется в соответствии с Территориальной схемой обращения с отходами Вологодской области».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Правила благоустройства территории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дополнить главами 21, 22, 22  следующего содержания: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Глава 21. Уборка путей подъезда к строительным площадкам.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 эксплуатации строительных площадок  должны быть обеспечены ежедневная очистка и содержание в надлежащем виде подъездных путей по длине пятидесяти метров от границ земельного участка, на котором осуществляется строительство.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22. Удаление борщевика Сосновского.</w:t>
      </w:r>
    </w:p>
    <w:p w:rsidR="00F6334A" w:rsidRPr="00315138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22.1</w:t>
      </w:r>
      <w:r w:rsidR="00CA69AC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Правоо</w:t>
      </w:r>
      <w:r w:rsidR="00CA69AC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ладатели земельных участков и иные лица, несущее бремя содержания этих участков (за исключением земельных участков, на которых в соответствии с законодательством об особо охраняемых природ</w:t>
      </w:r>
      <w:r w:rsidR="00CA69AC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территориях исключена любая деятельность), обязаны проводить </w:t>
      </w:r>
      <w:proofErr w:type="gramStart"/>
      <w:r w:rsidR="00CA69AC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мероприятии</w:t>
      </w:r>
      <w:proofErr w:type="gramEnd"/>
      <w:r w:rsidR="00CA69AC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удалению борщевика Сосновского.</w:t>
      </w:r>
    </w:p>
    <w:p w:rsidR="00CA69AC" w:rsidRPr="00315138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22.2. Мероприятия по удалению борщевика Сосновского проводятся химическим и (или) механическим способами.</w:t>
      </w:r>
    </w:p>
    <w:p w:rsidR="00CA69AC" w:rsidRPr="00315138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22.3. Удаление борщевика Сосновского механическим способом выполняется путем ручного и (или) механического скашивания, бульдозерной срезки, обработки фрезой, уборки сухих растений, выкапывания корневой системы или отдельных растений борщевика Сосновского с использованием ручных инструментов, а также путем удаления соцветий борщевика Сосновского</w:t>
      </w:r>
    </w:p>
    <w:p w:rsidR="00CA69AC" w:rsidRPr="00315138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22.4. Удаление борщевика Сосновского химическим способом выполняется путем обработки очагов произрастания растений борщевика Сосновского гербицидами.</w:t>
      </w:r>
    </w:p>
    <w:p w:rsidR="00CA69AC" w:rsidRPr="00315138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22.5. Мероприятия по удалению борщевика Сосновского химическим и (или) механическим способами проводится двукратно. При этом проведение первичной обработки осуществляется до 15 июня, второй – до 1 сентября</w:t>
      </w:r>
    </w:p>
    <w:p w:rsidR="00CA69AC" w:rsidRPr="00315138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23. Ответственность за нарушения требований к организации и производству уборочных работ.</w:t>
      </w:r>
    </w:p>
    <w:p w:rsidR="00FF4627" w:rsidRPr="00315138" w:rsidRDefault="00CA69AC" w:rsidP="00191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Правообладатели земельных участков или иные лица, несущие бремя содержания этих участков, нарушившие требования к организации и производству уборочных работ, установленные правилами благоустройства территории муниципальных образований области, с учетом положений настоящего</w:t>
      </w:r>
      <w:r w:rsidR="00191215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Единого стандарта, несут ответственность, установленную законом области от 08 декабря 2010 года № 2429-ОЗ «Об административных правонарушениях в Вологодской области»</w:t>
      </w:r>
      <w:r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583F" w:rsidRPr="00315138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</w:t>
      </w:r>
    </w:p>
    <w:p w:rsidR="00B07341" w:rsidRPr="00315138" w:rsidRDefault="00191215" w:rsidP="00FF4627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15138">
        <w:rPr>
          <w:rFonts w:ascii="Times New Roman" w:hAnsi="Times New Roman"/>
          <w:sz w:val="28"/>
          <w:szCs w:val="28"/>
        </w:rPr>
        <w:tab/>
      </w:r>
      <w:r w:rsidR="00B07341" w:rsidRPr="00315138">
        <w:rPr>
          <w:rFonts w:ascii="Times New Roman" w:hAnsi="Times New Roman"/>
          <w:sz w:val="28"/>
          <w:szCs w:val="28"/>
        </w:rPr>
        <w:t>2. Настоящее ре</w:t>
      </w:r>
      <w:r w:rsidR="00A161EE" w:rsidRPr="00315138">
        <w:rPr>
          <w:rFonts w:ascii="Times New Roman" w:hAnsi="Times New Roman"/>
          <w:sz w:val="28"/>
          <w:szCs w:val="28"/>
        </w:rPr>
        <w:t>шение подлежит опубликованию в и</w:t>
      </w:r>
      <w:r w:rsidR="00B07341" w:rsidRPr="00315138">
        <w:rPr>
          <w:rFonts w:ascii="Times New Roman" w:hAnsi="Times New Roman"/>
          <w:sz w:val="28"/>
          <w:szCs w:val="28"/>
        </w:rPr>
        <w:t>нформационном вестнике «</w:t>
      </w:r>
      <w:proofErr w:type="spellStart"/>
      <w:r w:rsidR="00A161EE" w:rsidRPr="00315138">
        <w:rPr>
          <w:rFonts w:ascii="Times New Roman" w:hAnsi="Times New Roman"/>
          <w:sz w:val="28"/>
          <w:szCs w:val="28"/>
        </w:rPr>
        <w:t>Яргомж</w:t>
      </w:r>
      <w:proofErr w:type="spellEnd"/>
      <w:r w:rsidR="00B07341" w:rsidRPr="00315138">
        <w:rPr>
          <w:rFonts w:ascii="Times New Roman" w:hAnsi="Times New Roman"/>
          <w:sz w:val="28"/>
          <w:szCs w:val="28"/>
        </w:rPr>
        <w:t xml:space="preserve">» и размещению на официальном сайте Администрации </w:t>
      </w:r>
      <w:proofErr w:type="spellStart"/>
      <w:r w:rsidR="00A161EE" w:rsidRPr="00315138">
        <w:rPr>
          <w:rFonts w:ascii="Times New Roman" w:eastAsia="Times New Roman" w:hAnsi="Times New Roman"/>
          <w:color w:val="000000" w:themeColor="text1"/>
          <w:sz w:val="28"/>
          <w:szCs w:val="28"/>
        </w:rPr>
        <w:t>Яргомжского</w:t>
      </w:r>
      <w:proofErr w:type="spellEnd"/>
      <w:r w:rsidR="00A161EE" w:rsidRPr="00315138">
        <w:rPr>
          <w:rFonts w:ascii="Times New Roman" w:hAnsi="Times New Roman"/>
          <w:sz w:val="28"/>
          <w:szCs w:val="28"/>
        </w:rPr>
        <w:t xml:space="preserve"> </w:t>
      </w:r>
      <w:r w:rsidR="00B07341" w:rsidRPr="00315138">
        <w:rPr>
          <w:rFonts w:ascii="Times New Roman" w:hAnsi="Times New Roman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5BB7B1BC" w:rsidRPr="00315138" w:rsidRDefault="5BB7B1BC" w:rsidP="00B92C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7341" w:rsidRPr="00315138" w:rsidRDefault="5BB7B1BC" w:rsidP="00B073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513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161EE" w:rsidRPr="00315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</w:p>
    <w:p w:rsidR="00B92C9B" w:rsidRPr="00315138" w:rsidRDefault="00B07341" w:rsidP="00B073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51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062F4" w:rsidRPr="00315138">
        <w:rPr>
          <w:rFonts w:ascii="Times New Roman" w:hAnsi="Times New Roman" w:cs="Times New Roman"/>
          <w:sz w:val="28"/>
          <w:szCs w:val="28"/>
        </w:rPr>
        <w:t xml:space="preserve">        </w:t>
      </w:r>
      <w:r w:rsidR="007E5909" w:rsidRPr="00315138">
        <w:rPr>
          <w:rFonts w:ascii="Times New Roman" w:hAnsi="Times New Roman" w:cs="Times New Roman"/>
          <w:sz w:val="28"/>
          <w:szCs w:val="28"/>
        </w:rPr>
        <w:t xml:space="preserve">                       О.А.  </w:t>
      </w:r>
      <w:proofErr w:type="spellStart"/>
      <w:r w:rsidR="007E5909" w:rsidRPr="00315138"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  <w:r w:rsidR="00A062F4" w:rsidRPr="0031513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92C9B" w:rsidRPr="00315138" w:rsidRDefault="00B92C9B" w:rsidP="5BB7B1BC">
      <w:pPr>
        <w:pStyle w:val="ConsPlusNormal"/>
        <w:tabs>
          <w:tab w:val="left" w:pos="7095"/>
        </w:tabs>
        <w:ind w:firstLine="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5BB7B1BC" w:rsidRPr="00315138" w:rsidRDefault="5BB7B1BC" w:rsidP="5BB7B1B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5BB7B1BC" w:rsidRPr="00315138" w:rsidSect="00B073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D0"/>
    <w:multiLevelType w:val="multilevel"/>
    <w:tmpl w:val="C80E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E775B"/>
    <w:multiLevelType w:val="multilevel"/>
    <w:tmpl w:val="4288D5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A44"/>
    <w:multiLevelType w:val="multilevel"/>
    <w:tmpl w:val="3C588F5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F337E5"/>
    <w:multiLevelType w:val="multilevel"/>
    <w:tmpl w:val="27A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2127181A"/>
    <w:rsid w:val="00023E17"/>
    <w:rsid w:val="00071608"/>
    <w:rsid w:val="00171E16"/>
    <w:rsid w:val="00175F04"/>
    <w:rsid w:val="00190C1E"/>
    <w:rsid w:val="00191215"/>
    <w:rsid w:val="00213E17"/>
    <w:rsid w:val="002B1C2E"/>
    <w:rsid w:val="00315138"/>
    <w:rsid w:val="00447CB3"/>
    <w:rsid w:val="00476BF8"/>
    <w:rsid w:val="004A260B"/>
    <w:rsid w:val="004D79F5"/>
    <w:rsid w:val="00522162"/>
    <w:rsid w:val="00545AB9"/>
    <w:rsid w:val="00671252"/>
    <w:rsid w:val="006A63C3"/>
    <w:rsid w:val="006B486F"/>
    <w:rsid w:val="006B6333"/>
    <w:rsid w:val="006C3955"/>
    <w:rsid w:val="007118FF"/>
    <w:rsid w:val="007E5909"/>
    <w:rsid w:val="008A649E"/>
    <w:rsid w:val="008D2F50"/>
    <w:rsid w:val="009026A4"/>
    <w:rsid w:val="00934342"/>
    <w:rsid w:val="009A65EB"/>
    <w:rsid w:val="009C138D"/>
    <w:rsid w:val="009C6DB3"/>
    <w:rsid w:val="009D6C02"/>
    <w:rsid w:val="009E0CF4"/>
    <w:rsid w:val="00A062F4"/>
    <w:rsid w:val="00A161EE"/>
    <w:rsid w:val="00B07341"/>
    <w:rsid w:val="00B92C9B"/>
    <w:rsid w:val="00C45788"/>
    <w:rsid w:val="00CA69AC"/>
    <w:rsid w:val="00D87185"/>
    <w:rsid w:val="00D9583F"/>
    <w:rsid w:val="00DB159A"/>
    <w:rsid w:val="00E40013"/>
    <w:rsid w:val="00F12284"/>
    <w:rsid w:val="00F62352"/>
    <w:rsid w:val="00F6334A"/>
    <w:rsid w:val="00FA0580"/>
    <w:rsid w:val="00FF4627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rsid w:val="00190C1E"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FE26-FD95-4C9F-B07E-251433F5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SuperUser</cp:lastModifiedBy>
  <cp:revision>7</cp:revision>
  <cp:lastPrinted>2024-03-07T08:09:00Z</cp:lastPrinted>
  <dcterms:created xsi:type="dcterms:W3CDTF">2024-03-07T08:58:00Z</dcterms:created>
  <dcterms:modified xsi:type="dcterms:W3CDTF">2024-04-23T13:40:00Z</dcterms:modified>
</cp:coreProperties>
</file>